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52 vom 12. Oktober 2021</w:t>
      </w:r>
    </w:p>
    <w:p>
      <w:r>
        <w:t>GR Gerichte, 2021-10-12, DE</w:t>
      </w:r>
    </w:p>
    <w:p>
      <w:r>
        <w:rPr>
          <w:b/>
        </w:rPr>
        <w:t xml:space="preserve">Quelle: </w:t>
      </w:r>
      <w:r>
        <w:t>https://mcp.opencaselaw.ch/entscheid/gr_gerichte_SK1 2018 52</w:t>
      </w:r>
    </w:p>
    <w:p>
      <w:r>
        <w:t>FR: GR_GERICHTE SK1 2018 52 du 12 octobre 2021</w:t>
      </w:r>
    </w:p>
    <w:p>
      <w:r>
        <w:t>IT: GR_GERICHTE SK1 2018 52 del 12 ottobre 2021</w:t>
      </w:r>
    </w:p>
    <w:p>
      <w:pPr>
        <w:pStyle w:val="Heading2"/>
      </w:pPr>
      <w:r>
        <w:t>Regeste</w:t>
      </w:r>
    </w:p>
    <w:p>
      <w:r>
        <w:t>Hehlerei gemäss Art. 160 Ziff. 1 Abs. 1 StGB | StGB 137-172 Vermögen</w:t>
      </w:r>
    </w:p>
    <w:p>
      <w:pPr>
        <w:pStyle w:val="Heading2"/>
      </w:pPr>
      <w:r>
        <w:t>Erwägungen</w:t>
      </w:r>
    </w:p>
    <w:p>
      <w:r>
        <w:rPr>
          <w:b/>
        </w:rPr>
        <w:t>E. 1</w:t>
      </w:r>
    </w:p>
    <w:p>
      <w:r>
        <w:t>Gemäss Anklageschrift soll B._____ am 28. oder 29. Dezember 2016 eine zehnjährige Damenuhr der Marke Rolex mit einem Versicherungswert von CHF 9'500.00 gestohlen haben. B._____ sei damals 16 Jahre alt gewesen. Noch am selben Tag soll er im Altschmuckgeschäft C._____ in D._____ die Uhr A._____ zum Kauf angeboten haben. Letzterer habe einen Preis von CHF 1'500.00 offeriert; Uhr und Geld seien dann am Abend in der Wohnung von A._____ übergeben worden. A._____ habe keine zweckmässigen Abklärungen über die Herkunft der Uhr getätigt und in Kauf genommen, dass diese durch ein Vermögensdelikt erlangt worden sei (StA act. 1.16).</w:t>
      </w:r>
    </w:p>
    <w:p>
      <w:r>
        <w:rPr>
          <w:b/>
        </w:rPr>
        <w:t>E. 1.5</w:t>
      </w:r>
    </w:p>
    <w:p>
      <w:r>
        <w:t>Stunden, zu reduzieren. Im Ergebnis sind für das Berufungsverfahren 9.5 Stunden zu CHF 270.00 (zzgl. Auslagen in Höhe von CHF 14.30 [act. G.1 S. 2] und MWSt.) zu entschädigen.</w:t>
      </w:r>
    </w:p>
    <w:p>
      <w:r>
        <w:rPr>
          <w:b/>
        </w:rPr>
        <w:t>E. 2</w:t>
      </w:r>
    </w:p>
    <w:p>
      <w:r>
        <w:t>Die Vorinstanz erwägt, dass die Eltern von B._____ den Verkauf der Uhr nachträglich nicht genehmigt hätten, womit das Rechtsgeschäft nichtig sei. Darü- ber hinaus könne nicht erstellt werden, dass der Beschuldigte eventualvorsätzlich gehandelt habe. Gemäss Art. 930 Abs. 1 ZGB gelte die Vermutung, dass der Be- sitzer einer beweglichen Sache deren Eigentümer sei. Auf Nachfrage des Be- schuldigten habe B._____ erklärt, dass es sich bei der Uhr um ein Erbstück hand- le. Es sei auch nicht ungewöhnlich, dass Jugendliche heutzutage teure Markensa- chen hätten. Die Staatsanwaltschaft habe den genauen Wert der Uhr nicht ermit- telt, weshalb der Schluss, dass diese ungewöhnlich günstig gewesen sei, nicht gezogen werden könne. Schliesslich sei B._____ in Begleitung von E._____, der ein Cousin des Beschuldigten sei, im Altschmuckgeschäft erschienen und der Va- ter von E._____ habe dem Beschuldigten auf Nachfrage versichert, dass B._____ in Ordnung sei (act. E.1, E. 4.3).</w:t>
      </w:r>
    </w:p>
    <w:p>
      <w:r>
        <w:rPr>
          <w:b/>
        </w:rPr>
        <w:t>E. 3</w:t>
      </w:r>
    </w:p>
    <w:p>
      <w:r>
        <w:t>/ 6</w:t>
      </w:r>
    </w:p>
    <w:p>
      <w:r>
        <w:rPr>
          <w:b/>
        </w:rPr>
        <w:t>E. 3.1</w:t>
      </w:r>
    </w:p>
    <w:p>
      <w:r>
        <w:t>Der Hehlerei gemäss Art. 160 Ziff. 1 StGB macht sich schuldigt, wer eine Sache, von der er weiss oder annehmen muss, dass sie ein anderer durch eine strafbare Handlung gegen das Vermögen erlangt hat, erwirbt, sich schenken lässt, zum Pfande nimmt, verheimlicht oder veräussern hilft. Entscheidend für den Er- werb ist, dass der Hehler im Einverständnis mit dem Vortäter an der Sache Ge- wahrsam und damit eine abgeleitete neue eigene Verfügungsmacht erlangt (BGE 128 IV 23 E. 3c).</w:t>
      </w:r>
    </w:p>
    <w:p>
      <w:r>
        <w:rPr>
          <w:b/>
        </w:rPr>
        <w:t>E. 3.2</w:t>
      </w:r>
    </w:p>
    <w:p>
      <w:r>
        <w:t>Es ist unbestritten, dass B._____ die Uhr gestohlen hat, bevor er sie dem Beschuldigten zum Kauf angeboten hat. Die Verteidigung macht geltend, dass der Tatbestand der Hehlerei einen rechtsgültigen Erwerb durch den Hehler vorausset- ze. Diese Voraussetzung sei vorliegend nicht erfüllt, weil die Eltern des minderjäh- rigen B._____ dem Verkauf der Uhr nicht zugestimmt hätten (RG act. 8 N 3 f. u. 9; act. H.2 N 5 u. 9). An einer gestohlenen Sache kann kein Eigentum erworben werden, solange der frühere Besitzer diese zurückfordern kann (Art. 714 Abs. 2 i.V.m. Art. 934 Abs. 2 und Art. 936 Abs. 1 ZGB). Es liegt daher in der Natur der Sache, dass der "Er- werb" im Sinne von Art. 160 Ziff. 1 StGB nicht ein rechtsgültiger sein muss. Nach der erwähnten Rechtsprechung des Bundesgerichts genügt vielmehr, dass der Hehler Gewahrsam an der Sache erlangt, wobei sich dieser Begriff auf eine rein faktische Situation und nicht auf das zugrundeliegende Rechtsgeschäft bezieht (vgl. Ackermann/Vogler/Baumann/Egli, Strafrecht, Individualinteressen, Bern 2019, S. 213). Der Beschuldigte hat im Einverständnis mit B._____ Gewahrsam an der gestohlenen Uhr erlangt, womit er sich – entgegen der Auffassung der Ver- teidigung – in objektiver Hinsicht der Hehlerei schuldig gemacht hat. 3.3.1 In subjektiver Hinsicht erfordert der Tatbestand der Hehlerei Vorsatz, wobei Eventualvorsatz genügt. Der Täter muss wissen oder annehmen, dass die Sache aus einem Vermögensdelikt herrührt, und dies in Kauf nehmen (BGer 6B_268/2020 v. 6.5.2020 E. 1.3; 6B_691/2014 v. 8.12.2014 E. 2.2; je mit Hinwei- sen). Die Abgrenzung zwischen Eventualvorsatz und bewusster Fahrlässigkeit kann im Einzelfall schwierig sein. Sowohl der eventualvorsätzlich als auch der bewusst fahrlässig handelnde Täter wissen um die Möglichkeit des Erfolgseintritts bezie- hungsweise um das Risiko der Tatbestandsverwirklichung. Hinsichtlich der Wis- sensseite stimmen somit beide Erscheinungsformen des subjektiven Tatbestands überein. Unterschiede bestehen jedoch beim Willensmoment. Der bewusst fahr- lässig handelnde Täter vertraut (aus pflichtwidriger Unvorsichtigkeit) darauf, dass</w:t>
      </w:r>
    </w:p>
    <w:p>
      <w:r>
        <w:rPr>
          <w:b/>
        </w:rPr>
        <w:t>E. 4</w:t>
      </w:r>
    </w:p>
    <w:p>
      <w:r>
        <w:t>Die Kosten des Verfahrens gehen zulasten des Kantons Graubünden (Art. 426 Abs. 1 u. Art. 428 Abs. 1 StPO). Für die angemessene Ausübung seiner Ver- fahrensrechte hat der Beschuldigte Anspruch auf eine Entschädigung (Art. 429 Abs. 1 lit. a StPO). Die vor dem Regionalgericht eingereichte Honorarnote er- scheint angemessen (RG act. 9). Für das Berufungsverfahren macht der Verteidi- ger einen Aufwand von insgesamt 11.82 Stunden geltend. Davon entfallen 1.24 Stunden auf den Empfang einer ersten Vorladung für die Hauptverhandlung, das Verfassen eines Verschiebungsgesuchs, die Terminabsprache mit dem Kantons- gericht sowie auf das Studium der neuen Vorladung und Mitteilung derselben an den Klienten (act. G.1). Der für diese Positionen geltend gemachter Aufwand ist übermässig und demzufolge um 1 Stunde zu kürzen. Der Zeitaufwand für die Teil- nahme an der Berufungsverhandlung ist auf die effektive Dauer derselben, mithin</w:t>
      </w:r>
    </w:p>
    <w:p>
      <w:r>
        <w:rPr>
          <w:b/>
        </w:rPr>
        <w:t>E. 5</w:t>
      </w:r>
    </w:p>
    <w:p>
      <w:r>
        <w:t>/ 6</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